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1A13" w14:textId="77777777" w:rsidR="00E830DE" w:rsidRPr="00E830DE" w:rsidRDefault="00343E23" w:rsidP="00343E23">
      <w:pPr>
        <w:jc w:val="right"/>
        <w:rPr>
          <w:rFonts w:eastAsia="Times New Roman" w:cstheme="minorHAnsi"/>
          <w:color w:val="000000"/>
          <w:sz w:val="20"/>
          <w:szCs w:val="20"/>
          <w:lang w:eastAsia="nl-NL"/>
        </w:rPr>
      </w:pPr>
      <w:r>
        <w:rPr>
          <w:rFonts w:eastAsia="Times New Roman" w:cstheme="minorHAnsi"/>
          <w:color w:val="000000"/>
          <w:sz w:val="20"/>
          <w:szCs w:val="20"/>
          <w:lang w:eastAsia="nl-NL"/>
        </w:rPr>
        <w:t>8</w:t>
      </w:r>
      <w:r w:rsidR="00E830DE" w:rsidRPr="00E830DE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oktober 2019</w:t>
      </w:r>
    </w:p>
    <w:p w14:paraId="3281063F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</w:p>
    <w:p w14:paraId="1AD97355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Beste collega’s,</w:t>
      </w:r>
    </w:p>
    <w:p w14:paraId="232A528E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 </w:t>
      </w:r>
    </w:p>
    <w:p w14:paraId="29ADE0C9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 xml:space="preserve">Er is een </w:t>
      </w:r>
      <w:proofErr w:type="spellStart"/>
      <w:r w:rsidRPr="00E830DE">
        <w:rPr>
          <w:rFonts w:eastAsia="Times New Roman" w:cstheme="minorHAnsi"/>
          <w:b/>
          <w:bCs/>
          <w:color w:val="FF0000"/>
          <w:sz w:val="20"/>
          <w:szCs w:val="20"/>
          <w:lang w:eastAsia="nl-NL"/>
        </w:rPr>
        <w:t>recall</w:t>
      </w:r>
      <w:proofErr w:type="spellEnd"/>
      <w:r w:rsidRPr="00E830DE">
        <w:rPr>
          <w:rFonts w:eastAsia="Times New Roman" w:cstheme="minorHAnsi"/>
          <w:b/>
          <w:bCs/>
          <w:color w:val="FF0000"/>
          <w:sz w:val="20"/>
          <w:szCs w:val="20"/>
          <w:lang w:eastAsia="nl-NL"/>
        </w:rPr>
        <w:t xml:space="preserve"> van ranitidine</w:t>
      </w:r>
      <w:r w:rsidRPr="00E830DE">
        <w:rPr>
          <w:rFonts w:eastAsia="Times New Roman" w:cstheme="minorHAnsi"/>
          <w:color w:val="FF0000"/>
          <w:sz w:val="20"/>
          <w:szCs w:val="20"/>
          <w:lang w:eastAsia="nl-NL"/>
        </w:rPr>
        <w:t xml:space="preserve"> </w:t>
      </w: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tabletten op komst. De KNMP adviseert om vanaf vrijdag 4 oktober geen ranitidine in de sterktes 75, 150 en 300 mg meer te verstrekken aan patiënten, vanwege de aanstaande terugroepactie.</w:t>
      </w:r>
    </w:p>
    <w:p w14:paraId="0E9558A3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We hebben op dit moment geen verdere informatie hieromtrent. Betreft het alle leveranciers of enkele?</w:t>
      </w:r>
    </w:p>
    <w:p w14:paraId="127621FC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b/>
          <w:bCs/>
          <w:color w:val="000000"/>
          <w:sz w:val="20"/>
          <w:szCs w:val="20"/>
          <w:lang w:eastAsia="nl-NL"/>
        </w:rPr>
        <w:t> </w:t>
      </w:r>
    </w:p>
    <w:p w14:paraId="59027FEF" w14:textId="77777777" w:rsidR="00E830DE" w:rsidRPr="00E830DE" w:rsidRDefault="00E830DE" w:rsidP="00E830DE">
      <w:pPr>
        <w:spacing w:after="240" w:line="270" w:lineRule="atLeast"/>
        <w:rPr>
          <w:rFonts w:eastAsia="Times New Roman" w:cstheme="minorHAnsi"/>
          <w:color w:val="000000" w:themeColor="text1"/>
          <w:sz w:val="20"/>
          <w:szCs w:val="20"/>
          <w:u w:val="single"/>
          <w:lang w:eastAsia="nl-NL"/>
        </w:rPr>
      </w:pPr>
      <w:r w:rsidRPr="00E830DE">
        <w:rPr>
          <w:rFonts w:eastAsia="Times New Roman" w:cstheme="minorHAnsi"/>
          <w:color w:val="000000" w:themeColor="text1"/>
          <w:sz w:val="20"/>
          <w:szCs w:val="20"/>
          <w:highlight w:val="green"/>
          <w:u w:val="single"/>
          <w:lang w:eastAsia="nl-NL"/>
        </w:rPr>
        <w:t>Mogelijke oplossingen zijn:</w:t>
      </w:r>
    </w:p>
    <w:p w14:paraId="4FF2E74A" w14:textId="77777777" w:rsidR="00E830DE" w:rsidRPr="00E830DE" w:rsidRDefault="00E830DE" w:rsidP="00A238EC">
      <w:pPr>
        <w:numPr>
          <w:ilvl w:val="0"/>
          <w:numId w:val="3"/>
        </w:numPr>
        <w:spacing w:line="270" w:lineRule="atLeast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 xml:space="preserve">omzetten naar </w:t>
      </w:r>
      <w:proofErr w:type="spellStart"/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famotidine</w:t>
      </w:r>
      <w:proofErr w:type="spellEnd"/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of </w:t>
      </w:r>
      <w:proofErr w:type="spellStart"/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nizatidine</w:t>
      </w:r>
      <w:proofErr w:type="spellEnd"/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tabletten, maar deze raken snel uitverkocht, zo blijkt; voor doseringsadviezen </w:t>
      </w:r>
      <w:r w:rsidR="008E732F">
        <w:rPr>
          <w:rFonts w:eastAsia="Times New Roman" w:cstheme="minorHAnsi"/>
          <w:color w:val="000000"/>
          <w:sz w:val="20"/>
          <w:szCs w:val="20"/>
          <w:lang w:eastAsia="nl-NL"/>
        </w:rPr>
        <w:t>zie verderop in</w:t>
      </w: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de mail. Dit kan zonder overleg arts. Wel de arts informeren hierover.</w:t>
      </w:r>
      <w:r w:rsidR="00102EFB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</w:t>
      </w:r>
    </w:p>
    <w:p w14:paraId="349FD834" w14:textId="77777777" w:rsidR="00E830DE" w:rsidRPr="00E830DE" w:rsidRDefault="00E830DE" w:rsidP="00A238EC">
      <w:pPr>
        <w:numPr>
          <w:ilvl w:val="0"/>
          <w:numId w:val="3"/>
        </w:numPr>
        <w:spacing w:line="270" w:lineRule="atLeast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 xml:space="preserve">er kan natuurlijk ook worden gekeken of de ranitidine nog geïndiceerd is: </w:t>
      </w:r>
    </w:p>
    <w:p w14:paraId="7335FFF4" w14:textId="77777777" w:rsidR="00E830DE" w:rsidRPr="00E830DE" w:rsidRDefault="00E830DE" w:rsidP="00A238EC">
      <w:pPr>
        <w:numPr>
          <w:ilvl w:val="0"/>
          <w:numId w:val="3"/>
        </w:numPr>
        <w:spacing w:line="270" w:lineRule="atLeast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patiënten die niet eerder een PPI hebben gebruikt omzetten naar een PPI</w:t>
      </w:r>
      <w:r w:rsidR="007E43EB">
        <w:rPr>
          <w:rFonts w:eastAsia="Times New Roman" w:cstheme="minorHAnsi"/>
          <w:color w:val="000000"/>
          <w:sz w:val="20"/>
          <w:szCs w:val="20"/>
          <w:lang w:eastAsia="nl-NL"/>
        </w:rPr>
        <w:t>.</w:t>
      </w:r>
    </w:p>
    <w:p w14:paraId="79A93543" w14:textId="77777777" w:rsidR="00A238EC" w:rsidRPr="00A238EC" w:rsidRDefault="00E830DE" w:rsidP="00A238EC">
      <w:pPr>
        <w:pStyle w:val="Lijstalinea"/>
        <w:numPr>
          <w:ilvl w:val="0"/>
          <w:numId w:val="3"/>
        </w:num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A238EC">
        <w:rPr>
          <w:rFonts w:eastAsia="Times New Roman" w:cstheme="minorHAnsi"/>
          <w:color w:val="000000"/>
          <w:sz w:val="20"/>
          <w:szCs w:val="20"/>
          <w:lang w:eastAsia="nl-NL"/>
        </w:rPr>
        <w:t>dit laatste geldt ook voor patiënten die eerder een PPI hebben gebruikt en zijn overgestapt naar ranitidine.</w:t>
      </w:r>
      <w:r w:rsidR="00A238EC" w:rsidRPr="00A238EC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</w:t>
      </w:r>
    </w:p>
    <w:p w14:paraId="6B6D54D5" w14:textId="77777777" w:rsidR="00E830DE" w:rsidRPr="00E830DE" w:rsidRDefault="00E830DE" w:rsidP="00E830DE">
      <w:pPr>
        <w:spacing w:line="270" w:lineRule="atLeast"/>
        <w:ind w:left="720"/>
        <w:rPr>
          <w:rFonts w:eastAsia="Times New Roman" w:cstheme="minorHAnsi"/>
          <w:color w:val="000000"/>
          <w:sz w:val="20"/>
          <w:szCs w:val="20"/>
          <w:lang w:eastAsia="nl-NL"/>
        </w:rPr>
      </w:pPr>
    </w:p>
    <w:p w14:paraId="5C5C5534" w14:textId="77777777" w:rsidR="00A238EC" w:rsidRDefault="00E830DE" w:rsidP="00A238EC">
      <w:pPr>
        <w:spacing w:line="270" w:lineRule="atLeast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highlight w:val="yellow"/>
          <w:lang w:eastAsia="nl-NL"/>
        </w:rPr>
        <w:t>De laatste drie adviezen alleen in overleg met de arts.</w:t>
      </w:r>
      <w:r w:rsidR="00A238EC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</w:t>
      </w:r>
    </w:p>
    <w:p w14:paraId="5D3DA666" w14:textId="77777777" w:rsidR="00A238EC" w:rsidRDefault="00A238EC" w:rsidP="00A238EC">
      <w:pPr>
        <w:spacing w:line="270" w:lineRule="atLeast"/>
        <w:rPr>
          <w:rFonts w:eastAsia="Times New Roman" w:cstheme="minorHAnsi"/>
          <w:color w:val="000000"/>
          <w:sz w:val="20"/>
          <w:szCs w:val="20"/>
          <w:lang w:eastAsia="nl-NL"/>
        </w:rPr>
      </w:pPr>
    </w:p>
    <w:p w14:paraId="21257039" w14:textId="77777777" w:rsidR="00A238EC" w:rsidRPr="00A238EC" w:rsidRDefault="00A238EC" w:rsidP="00A238EC">
      <w:pPr>
        <w:spacing w:line="270" w:lineRule="atLeast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A238EC">
        <w:rPr>
          <w:rFonts w:eastAsia="Times New Roman" w:cstheme="minorHAnsi"/>
          <w:color w:val="000000"/>
          <w:sz w:val="20"/>
          <w:szCs w:val="20"/>
          <w:lang w:eastAsia="nl-NL"/>
        </w:rPr>
        <w:t>NB: een voorbereidende behandeling voor oncologische behandeling door 1x150mg ranitidine mag uitsluitend worden vervangen door een andere H2-antagonist, NIET door een PPI.</w:t>
      </w:r>
    </w:p>
    <w:p w14:paraId="344EF407" w14:textId="77777777" w:rsidR="00E830DE" w:rsidRDefault="00E830DE" w:rsidP="00E830DE">
      <w:pPr>
        <w:spacing w:line="270" w:lineRule="atLeast"/>
        <w:rPr>
          <w:rFonts w:eastAsia="Times New Roman" w:cstheme="minorHAnsi"/>
          <w:color w:val="000000"/>
          <w:sz w:val="20"/>
          <w:szCs w:val="20"/>
          <w:u w:val="single"/>
          <w:lang w:eastAsia="nl-NL"/>
        </w:rPr>
      </w:pPr>
    </w:p>
    <w:p w14:paraId="53F488A8" w14:textId="77777777" w:rsidR="004E3E3C" w:rsidRPr="004E3E3C" w:rsidRDefault="004E3E3C" w:rsidP="00E830DE">
      <w:pPr>
        <w:spacing w:line="270" w:lineRule="atLeast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4E3E3C">
        <w:rPr>
          <w:rFonts w:eastAsia="Times New Roman" w:cstheme="minorHAnsi"/>
          <w:color w:val="000000"/>
          <w:sz w:val="20"/>
          <w:szCs w:val="20"/>
          <w:lang w:eastAsia="nl-NL"/>
        </w:rPr>
        <w:t>Voor het omrekenen van de doseringen</w:t>
      </w:r>
      <w:r>
        <w:rPr>
          <w:rFonts w:eastAsia="Times New Roman" w:cstheme="minorHAnsi"/>
          <w:color w:val="000000"/>
          <w:sz w:val="20"/>
          <w:szCs w:val="20"/>
          <w:lang w:eastAsia="nl-NL"/>
        </w:rPr>
        <w:t xml:space="preserve">: overleg met de apotheker, kijk in het Farmacotherapeutisch Kompas of (alleen voor KNMP-leden) in het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nl-NL"/>
        </w:rPr>
        <w:t>Informatorium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nl-NL"/>
        </w:rPr>
        <w:t>Medicamentorum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nl-NL"/>
        </w:rPr>
        <w:t xml:space="preserve">. We hebben hieronder de tabellen van de KNMP overgenomen. </w:t>
      </w:r>
    </w:p>
    <w:p w14:paraId="672B863F" w14:textId="77777777" w:rsidR="004E3E3C" w:rsidRPr="00E830DE" w:rsidRDefault="004E3E3C" w:rsidP="00E830DE">
      <w:pPr>
        <w:spacing w:line="270" w:lineRule="atLeast"/>
        <w:rPr>
          <w:rFonts w:eastAsia="Times New Roman" w:cstheme="minorHAnsi"/>
          <w:color w:val="000000"/>
          <w:sz w:val="20"/>
          <w:szCs w:val="20"/>
          <w:u w:val="single"/>
          <w:lang w:eastAsia="nl-NL"/>
        </w:rPr>
      </w:pPr>
    </w:p>
    <w:tbl>
      <w:tblPr>
        <w:tblpPr w:leftFromText="141" w:rightFromText="141" w:vertAnchor="text" w:horzAnchor="margin" w:tblpY="14"/>
        <w:tblW w:w="9740" w:type="dxa"/>
        <w:shd w:val="clear" w:color="auto" w:fill="C8DC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2059"/>
        <w:gridCol w:w="3448"/>
        <w:gridCol w:w="2832"/>
      </w:tblGrid>
      <w:tr w:rsidR="004E3E3C" w:rsidRPr="00102EFB" w14:paraId="7D30E843" w14:textId="77777777" w:rsidTr="004E3E3C">
        <w:trPr>
          <w:trHeight w:val="883"/>
        </w:trPr>
        <w:tc>
          <w:tcPr>
            <w:tcW w:w="0" w:type="auto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BCA0A56" w14:textId="77777777" w:rsidR="004E3E3C" w:rsidRPr="00102EFB" w:rsidRDefault="004E3E3C" w:rsidP="004E3E3C">
            <w:pPr>
              <w:rPr>
                <w:rFonts w:ascii="Arial" w:eastAsia="Times New Roman" w:hAnsi="Arial" w:cs="Arial"/>
                <w:b/>
                <w:bCs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b/>
                <w:bCs/>
                <w:color w:val="01486C"/>
                <w:sz w:val="16"/>
                <w:szCs w:val="16"/>
                <w:lang w:eastAsia="nl-NL"/>
              </w:rPr>
              <w:t>H2-blokker</w:t>
            </w:r>
          </w:p>
        </w:tc>
        <w:tc>
          <w:tcPr>
            <w:tcW w:w="2059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0FB4AD9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Gebruikelijke onderhoudsdosering</w:t>
            </w:r>
          </w:p>
        </w:tc>
        <w:tc>
          <w:tcPr>
            <w:tcW w:w="3448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3735D39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Opmerking</w:t>
            </w:r>
          </w:p>
        </w:tc>
        <w:tc>
          <w:tcPr>
            <w:tcW w:w="0" w:type="auto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BCC06E3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 xml:space="preserve">Aanpassing bij verminderde </w:t>
            </w:r>
            <w:proofErr w:type="gramStart"/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nierfunctie?*</w:t>
            </w:r>
            <w:proofErr w:type="gramEnd"/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 xml:space="preserve"> Voor meer informatie, zie KNMP Kennisbank</w:t>
            </w:r>
          </w:p>
        </w:tc>
      </w:tr>
      <w:tr w:rsidR="004E3E3C" w:rsidRPr="00102EFB" w14:paraId="6EFA3B6B" w14:textId="77777777" w:rsidTr="004E3E3C">
        <w:trPr>
          <w:trHeight w:val="271"/>
        </w:trPr>
        <w:tc>
          <w:tcPr>
            <w:tcW w:w="0" w:type="auto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84B3C36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Ranitidine</w:t>
            </w:r>
          </w:p>
        </w:tc>
        <w:tc>
          <w:tcPr>
            <w:tcW w:w="2059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951D6C8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150 mg</w:t>
            </w:r>
          </w:p>
        </w:tc>
        <w:tc>
          <w:tcPr>
            <w:tcW w:w="3448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3A99777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</w:p>
        </w:tc>
        <w:tc>
          <w:tcPr>
            <w:tcW w:w="0" w:type="auto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C247DC9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&lt; 30 ml/min</w:t>
            </w:r>
          </w:p>
        </w:tc>
      </w:tr>
      <w:tr w:rsidR="004E3E3C" w:rsidRPr="00102EFB" w14:paraId="48EE5AF3" w14:textId="77777777" w:rsidTr="004E3E3C">
        <w:trPr>
          <w:trHeight w:val="271"/>
        </w:trPr>
        <w:tc>
          <w:tcPr>
            <w:tcW w:w="0" w:type="auto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0C668F1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proofErr w:type="spellStart"/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Famotidine</w:t>
            </w:r>
            <w:proofErr w:type="spellEnd"/>
          </w:p>
        </w:tc>
        <w:tc>
          <w:tcPr>
            <w:tcW w:w="2059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6B49CC6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20 mg</w:t>
            </w:r>
          </w:p>
        </w:tc>
        <w:tc>
          <w:tcPr>
            <w:tcW w:w="3448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9EF2CBF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</w:p>
        </w:tc>
        <w:tc>
          <w:tcPr>
            <w:tcW w:w="0" w:type="auto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7948CE7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&lt; 30 ml/min</w:t>
            </w:r>
          </w:p>
        </w:tc>
      </w:tr>
      <w:tr w:rsidR="004E3E3C" w:rsidRPr="00102EFB" w14:paraId="2BFD7884" w14:textId="77777777" w:rsidTr="004E3E3C">
        <w:trPr>
          <w:trHeight w:val="647"/>
        </w:trPr>
        <w:tc>
          <w:tcPr>
            <w:tcW w:w="0" w:type="auto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B23FEBB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Cimetidine</w:t>
            </w:r>
          </w:p>
        </w:tc>
        <w:tc>
          <w:tcPr>
            <w:tcW w:w="2059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EF03FB3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400 mg</w:t>
            </w:r>
          </w:p>
        </w:tc>
        <w:tc>
          <w:tcPr>
            <w:tcW w:w="3448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1C881EE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 xml:space="preserve">Cave interacties: remt verschillende </w:t>
            </w:r>
            <w:proofErr w:type="spellStart"/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CYPenzymen</w:t>
            </w:r>
            <w:proofErr w:type="spellEnd"/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, waaronder CYP1A2, CYP2D6 en CYP3A4.</w:t>
            </w:r>
          </w:p>
        </w:tc>
        <w:tc>
          <w:tcPr>
            <w:tcW w:w="0" w:type="auto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42D6161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&lt; 30 ml/min</w:t>
            </w:r>
          </w:p>
        </w:tc>
      </w:tr>
      <w:tr w:rsidR="004E3E3C" w:rsidRPr="00102EFB" w14:paraId="6765E462" w14:textId="77777777" w:rsidTr="004E3E3C">
        <w:trPr>
          <w:trHeight w:val="271"/>
        </w:trPr>
        <w:tc>
          <w:tcPr>
            <w:tcW w:w="0" w:type="auto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6053539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proofErr w:type="spellStart"/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Nizatidine</w:t>
            </w:r>
            <w:proofErr w:type="spellEnd"/>
          </w:p>
        </w:tc>
        <w:tc>
          <w:tcPr>
            <w:tcW w:w="2059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0D79A50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150 mg</w:t>
            </w:r>
          </w:p>
        </w:tc>
        <w:tc>
          <w:tcPr>
            <w:tcW w:w="3448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A4790EE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</w:p>
        </w:tc>
        <w:tc>
          <w:tcPr>
            <w:tcW w:w="0" w:type="auto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68FD832" w14:textId="77777777" w:rsidR="004E3E3C" w:rsidRPr="00102EFB" w:rsidRDefault="004E3E3C" w:rsidP="004E3E3C">
            <w:pPr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</w:pPr>
            <w:r w:rsidRPr="00102EFB">
              <w:rPr>
                <w:rFonts w:ascii="Arial" w:eastAsia="Times New Roman" w:hAnsi="Arial" w:cs="Arial"/>
                <w:color w:val="01486C"/>
                <w:sz w:val="16"/>
                <w:szCs w:val="16"/>
                <w:lang w:eastAsia="nl-NL"/>
              </w:rPr>
              <w:t>&lt; 30 ml/min</w:t>
            </w:r>
          </w:p>
        </w:tc>
      </w:tr>
    </w:tbl>
    <w:p w14:paraId="4AF764DC" w14:textId="77777777" w:rsidR="004E3E3C" w:rsidRDefault="004E3E3C" w:rsidP="00E830DE">
      <w:pPr>
        <w:spacing w:line="270" w:lineRule="atLeast"/>
        <w:rPr>
          <w:rFonts w:eastAsia="Times New Roman" w:cstheme="minorHAnsi"/>
          <w:color w:val="000000"/>
          <w:sz w:val="20"/>
          <w:szCs w:val="20"/>
          <w:u w:val="single"/>
          <w:lang w:eastAsia="nl-NL"/>
        </w:rPr>
      </w:pPr>
    </w:p>
    <w:p w14:paraId="0FE51CEC" w14:textId="77777777" w:rsidR="00E830DE" w:rsidRPr="00E830DE" w:rsidRDefault="00E830DE" w:rsidP="00E830DE">
      <w:pPr>
        <w:spacing w:line="270" w:lineRule="atLeast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u w:val="single"/>
          <w:lang w:eastAsia="nl-NL"/>
        </w:rPr>
        <w:t xml:space="preserve">Doseringsadviezen </w:t>
      </w:r>
      <w:proofErr w:type="spellStart"/>
      <w:r w:rsidRPr="00E830DE">
        <w:rPr>
          <w:rFonts w:eastAsia="Times New Roman" w:cstheme="minorHAnsi"/>
          <w:color w:val="000000"/>
          <w:sz w:val="20"/>
          <w:szCs w:val="20"/>
          <w:u w:val="single"/>
          <w:lang w:eastAsia="nl-NL"/>
        </w:rPr>
        <w:t>famotidine</w:t>
      </w:r>
      <w:proofErr w:type="spellEnd"/>
    </w:p>
    <w:p w14:paraId="63934AC5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>Gastro-oesofageale reflux:</w:t>
      </w:r>
      <w:r w:rsidRPr="00E830DE">
        <w:rPr>
          <w:rFonts w:eastAsia="Times New Roman" w:cstheme="minorHAnsi"/>
          <w:color w:val="202A38"/>
          <w:sz w:val="20"/>
          <w:szCs w:val="20"/>
          <w:lang w:eastAsia="nl-NL"/>
        </w:rPr>
        <w:t xml:space="preserve"> oraal: volwassenen en kinderen vanaf 12 jaar 10 mg per keer, max. 20 mg per dag; bij klachten die verband houden met voedsel 1 uur voor het eten innemen.</w:t>
      </w:r>
    </w:p>
    <w:p w14:paraId="24A85AE2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>Reflux-oesofagitis</w:t>
      </w:r>
      <w:r w:rsidRPr="00E830DE">
        <w:rPr>
          <w:rFonts w:eastAsia="Times New Roman" w:cstheme="minorHAnsi"/>
          <w:color w:val="202A38"/>
          <w:sz w:val="20"/>
          <w:szCs w:val="20"/>
          <w:lang w:eastAsia="nl-NL"/>
        </w:rPr>
        <w:t xml:space="preserve">: oraal: volwassenen 20-40 mg 2x per dag gedurende 6-12 weken, bij </w:t>
      </w:r>
      <w:r w:rsidR="008E732F" w:rsidRPr="00E830DE">
        <w:rPr>
          <w:rFonts w:eastAsia="Times New Roman" w:cstheme="minorHAnsi"/>
          <w:color w:val="202A38"/>
          <w:sz w:val="20"/>
          <w:szCs w:val="20"/>
          <w:lang w:eastAsia="nl-NL"/>
        </w:rPr>
        <w:t>oesofagiale</w:t>
      </w:r>
      <w:r w:rsidRPr="00E830DE">
        <w:rPr>
          <w:rFonts w:eastAsia="Times New Roman" w:cstheme="minorHAnsi"/>
          <w:color w:val="202A38"/>
          <w:sz w:val="20"/>
          <w:szCs w:val="20"/>
          <w:lang w:eastAsia="nl-NL"/>
        </w:rPr>
        <w:t xml:space="preserve"> erosies en ulcera 40 mg 2x per dag.</w:t>
      </w:r>
    </w:p>
    <w:p w14:paraId="69B3587B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 xml:space="preserve">Ulcus </w:t>
      </w:r>
      <w:proofErr w:type="spellStart"/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>duodeni</w:t>
      </w:r>
      <w:proofErr w:type="spellEnd"/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>:</w:t>
      </w:r>
      <w:r w:rsidRPr="00E830DE">
        <w:rPr>
          <w:rFonts w:eastAsia="Times New Roman" w:cstheme="minorHAnsi"/>
          <w:color w:val="202A38"/>
          <w:sz w:val="20"/>
          <w:szCs w:val="20"/>
          <w:lang w:eastAsia="nl-NL"/>
        </w:rPr>
        <w:t xml:space="preserve"> oraal: volwassenen 40 mg 1x per dag 's avonds gedurende 4-8 weken; onderhoudsdosering ter voorkoming van recidieven 20 mg 1x per dag 's avonds.</w:t>
      </w:r>
    </w:p>
    <w:p w14:paraId="2056525C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 xml:space="preserve">Ulcus </w:t>
      </w:r>
      <w:proofErr w:type="spellStart"/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>ventriculi</w:t>
      </w:r>
      <w:proofErr w:type="spellEnd"/>
      <w:r w:rsidRPr="00E830DE">
        <w:rPr>
          <w:rFonts w:eastAsia="Times New Roman" w:cstheme="minorHAnsi"/>
          <w:color w:val="202A38"/>
          <w:sz w:val="20"/>
          <w:szCs w:val="20"/>
          <w:lang w:eastAsia="nl-NL"/>
        </w:rPr>
        <w:t>: oraal: volwassenen 40 mg 1x per dag 's avonds gedurende 4-8 weken.</w:t>
      </w:r>
    </w:p>
    <w:p w14:paraId="2AA24793" w14:textId="77777777" w:rsidR="00E830DE" w:rsidRDefault="00E830DE" w:rsidP="00E830DE">
      <w:pPr>
        <w:rPr>
          <w:rFonts w:eastAsia="Times New Roman" w:cstheme="minorHAnsi"/>
          <w:color w:val="202A38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202A38"/>
          <w:sz w:val="20"/>
          <w:szCs w:val="20"/>
          <w:lang w:eastAsia="nl-NL"/>
        </w:rPr>
        <w:t>Eerste episode van maagklachten en functionele maagklachten: oraal: volwassenen 40 mg 1x per dag of 20 mg 2x per dag.</w:t>
      </w:r>
    </w:p>
    <w:p w14:paraId="2EA09610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</w:p>
    <w:p w14:paraId="61A9BE79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u w:val="single"/>
          <w:lang w:eastAsia="nl-NL"/>
        </w:rPr>
        <w:t xml:space="preserve">Doseringsadviezen </w:t>
      </w:r>
      <w:proofErr w:type="spellStart"/>
      <w:r w:rsidRPr="00E830DE">
        <w:rPr>
          <w:rFonts w:eastAsia="Times New Roman" w:cstheme="minorHAnsi"/>
          <w:color w:val="000000"/>
          <w:sz w:val="20"/>
          <w:szCs w:val="20"/>
          <w:u w:val="single"/>
          <w:lang w:eastAsia="nl-NL"/>
        </w:rPr>
        <w:t>nizatidine</w:t>
      </w:r>
      <w:proofErr w:type="spellEnd"/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br/>
      </w:r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>Reflux-oesofagitis</w:t>
      </w:r>
      <w:r w:rsidRPr="00E830DE">
        <w:rPr>
          <w:rFonts w:eastAsia="Times New Roman" w:cstheme="minorHAnsi"/>
          <w:color w:val="202A38"/>
          <w:sz w:val="20"/>
          <w:szCs w:val="20"/>
          <w:lang w:eastAsia="nl-NL"/>
        </w:rPr>
        <w:t>: oraal: volwassenen 150 mg 2x per dag, zo nodig 300 mg 2x per dag, gedurende 6-12 weken.</w:t>
      </w:r>
    </w:p>
    <w:p w14:paraId="47FD1FEB" w14:textId="77777777" w:rsidR="00E830DE" w:rsidRPr="00E830DE" w:rsidRDefault="00E830DE" w:rsidP="00E830DE">
      <w:pPr>
        <w:outlineLvl w:val="2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 xml:space="preserve">Ulcus </w:t>
      </w:r>
      <w:proofErr w:type="spellStart"/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>duodeni</w:t>
      </w:r>
      <w:proofErr w:type="spellEnd"/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 xml:space="preserve"> en ulcus </w:t>
      </w:r>
      <w:proofErr w:type="spellStart"/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>ventriculi</w:t>
      </w:r>
      <w:proofErr w:type="spellEnd"/>
      <w:r w:rsidRPr="00E830DE">
        <w:rPr>
          <w:rFonts w:eastAsia="Times New Roman" w:cstheme="minorHAnsi"/>
          <w:color w:val="202A38"/>
          <w:sz w:val="20"/>
          <w:szCs w:val="20"/>
          <w:lang w:eastAsia="nl-NL"/>
        </w:rPr>
        <w:t>: oraal: volwassenen 300 mg 1x per dag voor het slapengaan óf 150 mg 2x per dag, gedurende 4-8 weken; onderhoudsdosering ter voorkoming van recidieven 150 mg 1x per dag voor het slapengaan, zo nodig gedurende 1 jaar.</w:t>
      </w:r>
    </w:p>
    <w:p w14:paraId="54BE4CCB" w14:textId="77777777" w:rsidR="00E830DE" w:rsidRPr="00E830DE" w:rsidRDefault="00E830DE" w:rsidP="00E830DE">
      <w:pPr>
        <w:outlineLvl w:val="2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 xml:space="preserve">Behandeling van ulcera ten gevolge van </w:t>
      </w:r>
      <w:proofErr w:type="spellStart"/>
      <w:r w:rsidRPr="00E830DE">
        <w:rPr>
          <w:rFonts w:eastAsia="Times New Roman" w:cstheme="minorHAnsi"/>
          <w:i/>
          <w:iCs/>
          <w:color w:val="202A38"/>
          <w:sz w:val="20"/>
          <w:szCs w:val="20"/>
          <w:lang w:eastAsia="nl-NL"/>
        </w:rPr>
        <w:t>NSAID's</w:t>
      </w:r>
      <w:proofErr w:type="spellEnd"/>
      <w:r w:rsidRPr="00E830DE">
        <w:rPr>
          <w:rFonts w:eastAsia="Times New Roman" w:cstheme="minorHAnsi"/>
          <w:color w:val="202A38"/>
          <w:sz w:val="20"/>
          <w:szCs w:val="20"/>
          <w:lang w:eastAsia="nl-NL"/>
        </w:rPr>
        <w:t>: oraal: volwassenen 300 mg 1x per dag voor het slapengaan óf 150 mg 2x per dag, gedurende max. 8 weken.</w:t>
      </w:r>
    </w:p>
    <w:p w14:paraId="2394DA18" w14:textId="77777777" w:rsidR="00E830DE" w:rsidRDefault="00E830DE" w:rsidP="00E830DE">
      <w:pPr>
        <w:outlineLvl w:val="2"/>
        <w:rPr>
          <w:rFonts w:eastAsia="Times New Roman" w:cstheme="minorHAnsi"/>
          <w:color w:val="202A38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202A38"/>
          <w:sz w:val="20"/>
          <w:szCs w:val="20"/>
          <w:lang w:eastAsia="nl-NL"/>
        </w:rPr>
        <w:t>Eerste episode van maagklachten en functionele maagklachten: oraal: volwassenen 300 mg 1x per dag of 150 mg 2x per dag.</w:t>
      </w:r>
      <w:r>
        <w:rPr>
          <w:rFonts w:eastAsia="Times New Roman" w:cstheme="minorHAnsi"/>
          <w:color w:val="202A38"/>
          <w:sz w:val="20"/>
          <w:szCs w:val="20"/>
          <w:lang w:eastAsia="nl-NL"/>
        </w:rPr>
        <w:t xml:space="preserve"> </w:t>
      </w:r>
    </w:p>
    <w:p w14:paraId="207F9619" w14:textId="77777777" w:rsidR="004E3E3C" w:rsidRDefault="004E3E3C" w:rsidP="00E830DE">
      <w:pPr>
        <w:outlineLvl w:val="2"/>
        <w:rPr>
          <w:rFonts w:eastAsia="Times New Roman" w:cstheme="minorHAnsi"/>
          <w:color w:val="202A38"/>
          <w:sz w:val="20"/>
          <w:szCs w:val="20"/>
          <w:lang w:eastAsia="nl-NL"/>
        </w:rPr>
      </w:pPr>
    </w:p>
    <w:p w14:paraId="59AE0C94" w14:textId="77777777" w:rsidR="007E43EB" w:rsidRDefault="004E3E3C" w:rsidP="00E830DE">
      <w:pPr>
        <w:outlineLvl w:val="2"/>
        <w:rPr>
          <w:rFonts w:eastAsia="Times New Roman" w:cstheme="minorHAnsi"/>
          <w:color w:val="202A38"/>
          <w:sz w:val="20"/>
          <w:szCs w:val="20"/>
          <w:lang w:eastAsia="nl-NL"/>
        </w:rPr>
      </w:pPr>
      <w:r w:rsidRPr="007E43EB">
        <w:rPr>
          <w:rFonts w:eastAsia="Times New Roman" w:cstheme="minorHAnsi"/>
          <w:color w:val="000000"/>
          <w:sz w:val="20"/>
          <w:szCs w:val="20"/>
          <w:u w:val="single"/>
          <w:lang w:eastAsia="nl-NL"/>
        </w:rPr>
        <w:t xml:space="preserve">Doseringsadviezen </w:t>
      </w:r>
      <w:r>
        <w:rPr>
          <w:rFonts w:eastAsia="Times New Roman" w:cstheme="minorHAnsi"/>
          <w:color w:val="000000"/>
          <w:sz w:val="20"/>
          <w:szCs w:val="20"/>
          <w:u w:val="single"/>
          <w:lang w:eastAsia="nl-NL"/>
        </w:rPr>
        <w:t>PPI</w:t>
      </w:r>
      <w:r w:rsidR="00A238EC">
        <w:rPr>
          <w:rFonts w:eastAsia="Times New Roman" w:cstheme="minorHAnsi"/>
          <w:color w:val="000000"/>
          <w:sz w:val="20"/>
          <w:szCs w:val="20"/>
          <w:u w:val="single"/>
          <w:lang w:eastAsia="nl-NL"/>
        </w:rPr>
        <w:t xml:space="preserve"> overgenomen vanuit de KNMP-website.</w:t>
      </w:r>
      <w:r w:rsidRPr="007E43EB">
        <w:rPr>
          <w:rFonts w:eastAsia="Times New Roman" w:cstheme="minorHAnsi"/>
          <w:color w:val="000000"/>
          <w:sz w:val="20"/>
          <w:szCs w:val="20"/>
          <w:u w:val="single"/>
          <w:lang w:eastAsia="nl-NL"/>
        </w:rPr>
        <w:t>:</w:t>
      </w:r>
    </w:p>
    <w:p w14:paraId="05257F42" w14:textId="77777777" w:rsidR="004E3E3C" w:rsidRDefault="004E3E3C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</w:p>
    <w:tbl>
      <w:tblPr>
        <w:tblW w:w="0" w:type="auto"/>
        <w:tblInd w:w="-426" w:type="dxa"/>
        <w:shd w:val="clear" w:color="auto" w:fill="C8DC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559"/>
        <w:gridCol w:w="1559"/>
        <w:gridCol w:w="1541"/>
        <w:gridCol w:w="1608"/>
        <w:gridCol w:w="1381"/>
      </w:tblGrid>
      <w:tr w:rsidR="00A238EC" w:rsidRPr="00A238EC" w14:paraId="21D66EE6" w14:textId="77777777" w:rsidTr="00A238EC">
        <w:tc>
          <w:tcPr>
            <w:tcW w:w="1844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A8FB343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</w:p>
        </w:tc>
        <w:tc>
          <w:tcPr>
            <w:tcW w:w="1559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5DCD23A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Gastro-eosofagale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reflux</w:t>
            </w:r>
          </w:p>
        </w:tc>
        <w:tc>
          <w:tcPr>
            <w:tcW w:w="1559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379E073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Reflux-oesofagitis</w:t>
            </w:r>
          </w:p>
        </w:tc>
        <w:tc>
          <w:tcPr>
            <w:tcW w:w="1541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5A46C67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Ulcus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duodeni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en ulcus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ventriculi</w:t>
            </w:r>
            <w:proofErr w:type="spellEnd"/>
          </w:p>
        </w:tc>
        <w:tc>
          <w:tcPr>
            <w:tcW w:w="0" w:type="auto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FDF6FF9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Behandeling van ulcera tgv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NSAID’s</w:t>
            </w:r>
            <w:proofErr w:type="spellEnd"/>
          </w:p>
        </w:tc>
        <w:tc>
          <w:tcPr>
            <w:tcW w:w="0" w:type="auto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9D7AB61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Profylaxe ulcera tgv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NSAID’s</w:t>
            </w:r>
            <w:proofErr w:type="spellEnd"/>
          </w:p>
        </w:tc>
      </w:tr>
      <w:tr w:rsidR="00A238EC" w:rsidRPr="00A238EC" w14:paraId="6E702B0B" w14:textId="77777777" w:rsidTr="00A238EC">
        <w:tc>
          <w:tcPr>
            <w:tcW w:w="1844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A692C0C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Ranitidine</w:t>
            </w:r>
          </w:p>
        </w:tc>
        <w:tc>
          <w:tcPr>
            <w:tcW w:w="1559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FCB8E91" w14:textId="77777777" w:rsidR="00A238EC" w:rsidRPr="00A238EC" w:rsidRDefault="00A238EC" w:rsidP="00A238EC">
            <w:pPr>
              <w:spacing w:after="150"/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2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150 mg</w:t>
            </w:r>
          </w:p>
          <w:p w14:paraId="6F293214" w14:textId="77777777" w:rsidR="00A238EC" w:rsidRPr="00A238EC" w:rsidRDefault="00A238EC" w:rsidP="00A238EC">
            <w:pPr>
              <w:spacing w:after="150"/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300 mg</w:t>
            </w:r>
          </w:p>
        </w:tc>
        <w:tc>
          <w:tcPr>
            <w:tcW w:w="1559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A732E91" w14:textId="77777777" w:rsidR="00A238EC" w:rsidRPr="00A238EC" w:rsidRDefault="00A238EC" w:rsidP="00A238EC">
            <w:pPr>
              <w:spacing w:after="150"/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2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150 mg</w:t>
            </w:r>
          </w:p>
          <w:p w14:paraId="4FCE298C" w14:textId="77777777" w:rsidR="00A238EC" w:rsidRPr="00A238EC" w:rsidRDefault="00A238EC" w:rsidP="00A238EC">
            <w:pPr>
              <w:spacing w:after="150"/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300 mg</w:t>
            </w:r>
          </w:p>
        </w:tc>
        <w:tc>
          <w:tcPr>
            <w:tcW w:w="1541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31CB488" w14:textId="77777777" w:rsidR="00A238EC" w:rsidRPr="00A238EC" w:rsidRDefault="00A238EC" w:rsidP="00A238EC">
            <w:pPr>
              <w:spacing w:after="150"/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2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150 mg</w:t>
            </w:r>
          </w:p>
          <w:p w14:paraId="6F46829F" w14:textId="77777777" w:rsidR="00A238EC" w:rsidRPr="00A238EC" w:rsidRDefault="00A238EC" w:rsidP="00A238EC">
            <w:pPr>
              <w:spacing w:after="150"/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300 mg</w:t>
            </w:r>
          </w:p>
        </w:tc>
        <w:tc>
          <w:tcPr>
            <w:tcW w:w="0" w:type="auto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F0DF6F5" w14:textId="77777777" w:rsidR="00A238EC" w:rsidRPr="00A238EC" w:rsidRDefault="00A238EC" w:rsidP="00A238EC">
            <w:pPr>
              <w:spacing w:after="150"/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2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150 mg</w:t>
            </w:r>
          </w:p>
          <w:p w14:paraId="55C8161B" w14:textId="77777777" w:rsidR="00A238EC" w:rsidRPr="00A238EC" w:rsidRDefault="00A238EC" w:rsidP="00A238EC">
            <w:pPr>
              <w:spacing w:after="150"/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300 mg</w:t>
            </w:r>
          </w:p>
        </w:tc>
        <w:tc>
          <w:tcPr>
            <w:tcW w:w="0" w:type="auto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804E272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-</w:t>
            </w:r>
          </w:p>
        </w:tc>
      </w:tr>
      <w:tr w:rsidR="00A238EC" w:rsidRPr="00A238EC" w14:paraId="00A96647" w14:textId="77777777" w:rsidTr="00A238EC">
        <w:tc>
          <w:tcPr>
            <w:tcW w:w="1844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0303A1B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Esomeprazol</w:t>
            </w:r>
            <w:proofErr w:type="spellEnd"/>
          </w:p>
        </w:tc>
        <w:tc>
          <w:tcPr>
            <w:tcW w:w="1559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5321A6A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 mg</w:t>
            </w:r>
          </w:p>
        </w:tc>
        <w:tc>
          <w:tcPr>
            <w:tcW w:w="1559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E2C30F8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20-40 mg</w:t>
            </w:r>
          </w:p>
        </w:tc>
        <w:tc>
          <w:tcPr>
            <w:tcW w:w="1541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05F797A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-</w:t>
            </w:r>
          </w:p>
        </w:tc>
        <w:tc>
          <w:tcPr>
            <w:tcW w:w="0" w:type="auto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9C41FED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 mg</w:t>
            </w:r>
          </w:p>
        </w:tc>
        <w:tc>
          <w:tcPr>
            <w:tcW w:w="0" w:type="auto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409A270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 mg</w:t>
            </w:r>
          </w:p>
        </w:tc>
      </w:tr>
      <w:tr w:rsidR="00A238EC" w:rsidRPr="00A238EC" w14:paraId="7F56FE24" w14:textId="77777777" w:rsidTr="00A238EC">
        <w:tc>
          <w:tcPr>
            <w:tcW w:w="1844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DC55F1F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Omeprazol</w:t>
            </w:r>
          </w:p>
        </w:tc>
        <w:tc>
          <w:tcPr>
            <w:tcW w:w="1559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7DF2459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 mg</w:t>
            </w:r>
          </w:p>
        </w:tc>
        <w:tc>
          <w:tcPr>
            <w:tcW w:w="1559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682218D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20 -40 mg</w:t>
            </w:r>
          </w:p>
        </w:tc>
        <w:tc>
          <w:tcPr>
            <w:tcW w:w="1541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94E1968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 mg</w:t>
            </w:r>
          </w:p>
        </w:tc>
        <w:tc>
          <w:tcPr>
            <w:tcW w:w="0" w:type="auto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43175EF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 mg</w:t>
            </w:r>
          </w:p>
        </w:tc>
        <w:tc>
          <w:tcPr>
            <w:tcW w:w="0" w:type="auto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88632C7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 mg</w:t>
            </w:r>
          </w:p>
        </w:tc>
      </w:tr>
      <w:tr w:rsidR="00A238EC" w:rsidRPr="00A238EC" w14:paraId="2DD6F122" w14:textId="77777777" w:rsidTr="00A238EC">
        <w:tc>
          <w:tcPr>
            <w:tcW w:w="1844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760A2F7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Pantoprazol</w:t>
            </w:r>
            <w:proofErr w:type="spellEnd"/>
          </w:p>
        </w:tc>
        <w:tc>
          <w:tcPr>
            <w:tcW w:w="1559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158A92E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20-40 mg</w:t>
            </w:r>
          </w:p>
        </w:tc>
        <w:tc>
          <w:tcPr>
            <w:tcW w:w="1559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15F468B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40 mg</w:t>
            </w:r>
          </w:p>
        </w:tc>
        <w:tc>
          <w:tcPr>
            <w:tcW w:w="1541" w:type="dxa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F220D7F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40 mg</w:t>
            </w:r>
          </w:p>
        </w:tc>
        <w:tc>
          <w:tcPr>
            <w:tcW w:w="0" w:type="auto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86CBA85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40 mg</w:t>
            </w:r>
          </w:p>
        </w:tc>
        <w:tc>
          <w:tcPr>
            <w:tcW w:w="0" w:type="auto"/>
            <w:shd w:val="clear" w:color="auto" w:fill="C8DCE8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E3C640C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20-40 mg</w:t>
            </w:r>
          </w:p>
        </w:tc>
      </w:tr>
      <w:tr w:rsidR="00A238EC" w:rsidRPr="00A238EC" w14:paraId="3DDFB4E5" w14:textId="77777777" w:rsidTr="00A238EC">
        <w:tc>
          <w:tcPr>
            <w:tcW w:w="1844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9ED77D9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Rabeprazol</w:t>
            </w:r>
            <w:proofErr w:type="spellEnd"/>
          </w:p>
        </w:tc>
        <w:tc>
          <w:tcPr>
            <w:tcW w:w="1559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61B9926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10 mg</w:t>
            </w:r>
          </w:p>
        </w:tc>
        <w:tc>
          <w:tcPr>
            <w:tcW w:w="1559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BCF0E10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 mg</w:t>
            </w:r>
          </w:p>
        </w:tc>
        <w:tc>
          <w:tcPr>
            <w:tcW w:w="1541" w:type="dxa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15B4BB0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1 </w:t>
            </w:r>
            <w:proofErr w:type="spellStart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dd</w:t>
            </w:r>
            <w:proofErr w:type="spellEnd"/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 xml:space="preserve"> 20 mg</w:t>
            </w:r>
          </w:p>
        </w:tc>
        <w:tc>
          <w:tcPr>
            <w:tcW w:w="0" w:type="auto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6736A8A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-</w:t>
            </w:r>
          </w:p>
        </w:tc>
        <w:tc>
          <w:tcPr>
            <w:tcW w:w="0" w:type="auto"/>
            <w:shd w:val="clear" w:color="auto" w:fill="EEF4F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4CB1489" w14:textId="77777777" w:rsidR="00A238EC" w:rsidRPr="00A238EC" w:rsidRDefault="00A238EC" w:rsidP="00A238EC">
            <w:pPr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</w:pPr>
            <w:r w:rsidRPr="00A238EC">
              <w:rPr>
                <w:rFonts w:ascii="Times New Roman" w:eastAsia="Times New Roman" w:hAnsi="Times New Roman" w:cs="Times New Roman"/>
                <w:color w:val="01486C"/>
                <w:sz w:val="18"/>
                <w:szCs w:val="18"/>
                <w:lang w:eastAsia="nl-NL"/>
              </w:rPr>
              <w:t>-</w:t>
            </w:r>
          </w:p>
        </w:tc>
      </w:tr>
    </w:tbl>
    <w:p w14:paraId="4A2B88F6" w14:textId="77777777" w:rsidR="00A238EC" w:rsidRPr="00A238EC" w:rsidRDefault="00A238EC" w:rsidP="00A238EC">
      <w:pPr>
        <w:spacing w:after="150"/>
        <w:rPr>
          <w:rFonts w:ascii="Arial" w:eastAsia="Times New Roman" w:hAnsi="Arial" w:cs="Arial"/>
          <w:color w:val="494C4E"/>
          <w:sz w:val="23"/>
          <w:szCs w:val="23"/>
          <w:lang w:eastAsia="nl-NL"/>
        </w:rPr>
      </w:pPr>
      <w:r w:rsidRPr="00A238EC">
        <w:rPr>
          <w:rFonts w:ascii="Arial" w:eastAsia="Times New Roman" w:hAnsi="Arial" w:cs="Arial"/>
          <w:color w:val="494C4E"/>
          <w:sz w:val="23"/>
          <w:szCs w:val="23"/>
          <w:lang w:eastAsia="nl-NL"/>
        </w:rPr>
        <w:t> </w:t>
      </w:r>
    </w:p>
    <w:p w14:paraId="0332220F" w14:textId="77777777" w:rsidR="004E3E3C" w:rsidRPr="00E830DE" w:rsidRDefault="004E3E3C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</w:p>
    <w:p w14:paraId="35514103" w14:textId="77777777" w:rsid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Met vriendelijke groeten, </w:t>
      </w:r>
    </w:p>
    <w:p w14:paraId="0937E657" w14:textId="77777777" w:rsidR="004E3E3C" w:rsidRPr="00E830DE" w:rsidRDefault="004E3E3C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</w:p>
    <w:p w14:paraId="789A4D5A" w14:textId="77777777" w:rsidR="002637FF" w:rsidRDefault="002637FF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>
        <w:rPr>
          <w:rFonts w:eastAsia="Times New Roman" w:cstheme="minorHAnsi"/>
          <w:color w:val="000000"/>
          <w:sz w:val="20"/>
          <w:szCs w:val="20"/>
          <w:lang w:eastAsia="nl-NL"/>
        </w:rPr>
        <w:t>“</w:t>
      </w:r>
    </w:p>
    <w:p w14:paraId="408C3E58" w14:textId="27EE35FF" w:rsid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bookmarkStart w:id="0" w:name="_GoBack"/>
      <w:bookmarkEnd w:id="0"/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André Krings, ziekenhuisapotheker</w:t>
      </w:r>
      <w:r>
        <w:rPr>
          <w:rFonts w:eastAsia="Times New Roman" w:cstheme="minorHAnsi"/>
          <w:color w:val="000000"/>
          <w:sz w:val="20"/>
          <w:szCs w:val="20"/>
          <w:lang w:eastAsia="nl-NL"/>
        </w:rPr>
        <w:t>; t</w:t>
      </w: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el.  06-52304307</w:t>
      </w:r>
    </w:p>
    <w:p w14:paraId="5F408C49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 xml:space="preserve">Anita </w:t>
      </w:r>
      <w:proofErr w:type="spellStart"/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Minova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nl-NL"/>
        </w:rPr>
        <w:t>, openbaar apotheker</w:t>
      </w:r>
    </w:p>
    <w:p w14:paraId="4A52AFF3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Louis de Wolf</w:t>
      </w:r>
      <w:r>
        <w:rPr>
          <w:rFonts w:eastAsia="Times New Roman" w:cstheme="minorHAnsi"/>
          <w:color w:val="000000"/>
          <w:sz w:val="20"/>
          <w:szCs w:val="20"/>
          <w:lang w:eastAsia="nl-NL"/>
        </w:rPr>
        <w:t>, huisarts</w:t>
      </w:r>
    </w:p>
    <w:p w14:paraId="6134D88A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E830DE">
        <w:rPr>
          <w:rFonts w:eastAsia="Times New Roman" w:cstheme="minorHAnsi"/>
          <w:color w:val="000000"/>
          <w:sz w:val="20"/>
          <w:szCs w:val="20"/>
          <w:lang w:eastAsia="nl-NL"/>
        </w:rPr>
        <w:t>Luc Peeters</w:t>
      </w:r>
      <w:r>
        <w:rPr>
          <w:rFonts w:eastAsia="Times New Roman" w:cstheme="minorHAnsi"/>
          <w:color w:val="000000"/>
          <w:sz w:val="20"/>
          <w:szCs w:val="20"/>
          <w:lang w:eastAsia="nl-NL"/>
        </w:rPr>
        <w:t xml:space="preserve">, openbaar apotheker en beheerder EVS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nl-NL"/>
        </w:rPr>
        <w:t>MIJN</w:t>
      </w:r>
      <w:r w:rsidR="004E3E3C">
        <w:rPr>
          <w:rFonts w:eastAsia="Times New Roman" w:cstheme="minorHAnsi"/>
          <w:color w:val="000000"/>
          <w:sz w:val="20"/>
          <w:szCs w:val="20"/>
          <w:lang w:eastAsia="nl-NL"/>
        </w:rPr>
        <w:t>.</w:t>
      </w:r>
      <w:r>
        <w:rPr>
          <w:rFonts w:eastAsia="Times New Roman" w:cstheme="minorHAnsi"/>
          <w:color w:val="000000"/>
          <w:sz w:val="20"/>
          <w:szCs w:val="20"/>
          <w:lang w:eastAsia="nl-NL"/>
        </w:rPr>
        <w:t>streek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nl-NL"/>
        </w:rPr>
        <w:t xml:space="preserve"> formularium; </w:t>
      </w:r>
      <w:hyperlink r:id="rId5" w:history="1">
        <w:r w:rsidRPr="00861588">
          <w:rPr>
            <w:rStyle w:val="Hyperlink"/>
            <w:rFonts w:eastAsia="Times New Roman" w:cstheme="minorHAnsi"/>
            <w:sz w:val="20"/>
            <w:szCs w:val="20"/>
            <w:lang w:eastAsia="nl-NL"/>
          </w:rPr>
          <w:t>lmpeetersudding@home.nl</w:t>
        </w:r>
      </w:hyperlink>
      <w:r>
        <w:rPr>
          <w:rFonts w:eastAsia="Times New Roman" w:cstheme="minorHAnsi"/>
          <w:color w:val="000000"/>
          <w:sz w:val="20"/>
          <w:szCs w:val="20"/>
          <w:lang w:eastAsia="nl-NL"/>
        </w:rPr>
        <w:t xml:space="preserve"> </w:t>
      </w:r>
    </w:p>
    <w:p w14:paraId="4364091D" w14:textId="77777777" w:rsidR="00E830DE" w:rsidRPr="00E830DE" w:rsidRDefault="00E830DE" w:rsidP="00E830DE">
      <w:pPr>
        <w:rPr>
          <w:rFonts w:eastAsia="Times New Roman" w:cstheme="minorHAnsi"/>
          <w:color w:val="000000"/>
          <w:sz w:val="20"/>
          <w:szCs w:val="20"/>
          <w:lang w:eastAsia="nl-NL"/>
        </w:rPr>
      </w:pPr>
    </w:p>
    <w:p w14:paraId="6FBE7559" w14:textId="77777777" w:rsidR="00E830DE" w:rsidRDefault="00E830DE" w:rsidP="00E830DE">
      <w:pPr>
        <w:rPr>
          <w:rFonts w:eastAsia="Times New Roman" w:cstheme="minorHAnsi"/>
          <w:sz w:val="20"/>
          <w:szCs w:val="20"/>
          <w:lang w:eastAsia="nl-NL"/>
        </w:rPr>
      </w:pPr>
    </w:p>
    <w:p w14:paraId="78A8D309" w14:textId="77777777" w:rsidR="00102EFB" w:rsidRPr="00E830DE" w:rsidRDefault="00102EFB" w:rsidP="00E830DE">
      <w:pPr>
        <w:rPr>
          <w:rFonts w:eastAsia="Times New Roman" w:cstheme="minorHAnsi"/>
          <w:sz w:val="20"/>
          <w:szCs w:val="20"/>
          <w:lang w:eastAsia="nl-NL"/>
        </w:rPr>
      </w:pPr>
    </w:p>
    <w:sectPr w:rsidR="00102EFB" w:rsidRPr="00E830DE" w:rsidSect="00FD23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F04E1"/>
    <w:multiLevelType w:val="multilevel"/>
    <w:tmpl w:val="A884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817684"/>
    <w:multiLevelType w:val="multilevel"/>
    <w:tmpl w:val="0AE2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DF6629"/>
    <w:multiLevelType w:val="hybridMultilevel"/>
    <w:tmpl w:val="DDC0AC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DE"/>
    <w:rsid w:val="00102EFB"/>
    <w:rsid w:val="002637FF"/>
    <w:rsid w:val="00343E23"/>
    <w:rsid w:val="004E3E3C"/>
    <w:rsid w:val="007E43EB"/>
    <w:rsid w:val="008A1039"/>
    <w:rsid w:val="008E732F"/>
    <w:rsid w:val="00902D1B"/>
    <w:rsid w:val="00A238EC"/>
    <w:rsid w:val="00E830DE"/>
    <w:rsid w:val="00EF1482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FAF2"/>
  <w15:chartTrackingRefBased/>
  <w15:docId w15:val="{2DCF88A9-C404-7D44-B69F-D06B826E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E830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43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830D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apple-converted-space">
    <w:name w:val="apple-converted-space"/>
    <w:basedOn w:val="Standaardalinea-lettertype"/>
    <w:rsid w:val="00E830DE"/>
  </w:style>
  <w:style w:type="character" w:styleId="Zwaar">
    <w:name w:val="Strong"/>
    <w:basedOn w:val="Standaardalinea-lettertype"/>
    <w:uiPriority w:val="22"/>
    <w:qFormat/>
    <w:rsid w:val="00E830D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E830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30DE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43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alweb">
    <w:name w:val="Normal (Web)"/>
    <w:basedOn w:val="Standaard"/>
    <w:uiPriority w:val="99"/>
    <w:semiHidden/>
    <w:unhideWhenUsed/>
    <w:rsid w:val="00102E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A2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mpeetersudding@hom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Peeters</dc:creator>
  <cp:keywords/>
  <dc:description/>
  <cp:lastModifiedBy>Patricia Teuns</cp:lastModifiedBy>
  <cp:revision>2</cp:revision>
  <dcterms:created xsi:type="dcterms:W3CDTF">2019-10-24T08:16:00Z</dcterms:created>
  <dcterms:modified xsi:type="dcterms:W3CDTF">2019-10-24T08:16:00Z</dcterms:modified>
</cp:coreProperties>
</file>